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80543" w14:textId="5FA918B5" w:rsidR="00D8108E" w:rsidRPr="00D76DDB" w:rsidRDefault="00D8108E" w:rsidP="00D8108E">
      <w:pPr>
        <w:rPr>
          <w:rFonts w:ascii="Century Gothic" w:hAnsi="Century Gothic" w:cs="Times New Roman"/>
          <w:b/>
          <w:bCs/>
        </w:rPr>
      </w:pPr>
      <w:bookmarkStart w:id="0" w:name="_Hlk74643973"/>
      <w:r w:rsidRPr="00D76DDB">
        <w:rPr>
          <w:rFonts w:ascii="Century Gothic" w:hAnsi="Century Gothic" w:cs="Times New Roman"/>
          <w:b/>
          <w:bCs/>
          <w:sz w:val="28"/>
          <w:szCs w:val="36"/>
        </w:rPr>
        <w:t>Long-term Care: The Retirement Wildcard</w:t>
      </w:r>
      <w:r w:rsidRPr="00D76DDB">
        <w:rPr>
          <w:rFonts w:ascii="Century Gothic" w:hAnsi="Century Gothic" w:cs="Times New Roman"/>
          <w:b/>
          <w:bCs/>
        </w:rPr>
        <w:br/>
      </w:r>
    </w:p>
    <w:p w14:paraId="715EC2F7" w14:textId="78824441" w:rsidR="00D8108E" w:rsidRDefault="00D8108E" w:rsidP="00D8108E">
      <w:pPr>
        <w:rPr>
          <w:rFonts w:ascii="Century Gothic" w:hAnsi="Century Gothic" w:cs="Times New Roman"/>
        </w:rPr>
      </w:pPr>
      <w:r w:rsidRPr="00D76DDB">
        <w:rPr>
          <w:rFonts w:ascii="Century Gothic" w:hAnsi="Century Gothic" w:cs="Times New Roman"/>
        </w:rPr>
        <w:t xml:space="preserve">The end of the year is always a good time to take stock of your finances and make sure your savings and investments align with your long- and short-term goals. </w:t>
      </w:r>
    </w:p>
    <w:p w14:paraId="38816A53" w14:textId="77777777" w:rsidR="00D76DDB" w:rsidRPr="00D76DDB" w:rsidRDefault="00D76DDB" w:rsidP="00D8108E">
      <w:pPr>
        <w:rPr>
          <w:rFonts w:ascii="Century Gothic" w:hAnsi="Century Gothic" w:cs="Times New Roman"/>
        </w:rPr>
      </w:pPr>
    </w:p>
    <w:p w14:paraId="5B6A5F96" w14:textId="57D8BD9B" w:rsidR="00D8108E" w:rsidRPr="00D76DDB" w:rsidRDefault="00D8108E" w:rsidP="00D8108E">
      <w:pPr>
        <w:rPr>
          <w:rFonts w:ascii="Century Gothic" w:hAnsi="Century Gothic" w:cs="Times New Roman"/>
        </w:rPr>
      </w:pPr>
      <w:r w:rsidRPr="00D76DDB">
        <w:rPr>
          <w:rFonts w:ascii="Century Gothic" w:hAnsi="Century Gothic" w:cs="Times New Roman"/>
        </w:rPr>
        <w:t xml:space="preserve">Even when you’ve been a diligent saver and invested wisely, the wildcard for nearly everyone is how to finance long-term care. It’s impossible to know whether you’ll need minimal care and be able to age at home or if you’ll need hands-on care in a nursing home. </w:t>
      </w:r>
      <w:r w:rsidR="00D76DDB">
        <w:rPr>
          <w:rFonts w:ascii="Century Gothic" w:hAnsi="Century Gothic" w:cs="Times New Roman"/>
        </w:rPr>
        <w:br/>
      </w:r>
    </w:p>
    <w:p w14:paraId="1AE1E007" w14:textId="30EEB9C7" w:rsidR="00D8108E" w:rsidRPr="00D76DDB" w:rsidRDefault="00D8108E" w:rsidP="00D8108E">
      <w:pPr>
        <w:rPr>
          <w:rFonts w:ascii="Century Gothic" w:hAnsi="Century Gothic" w:cs="Times New Roman"/>
        </w:rPr>
      </w:pPr>
      <w:r w:rsidRPr="00D76DDB">
        <w:rPr>
          <w:rFonts w:ascii="Century Gothic" w:hAnsi="Century Gothic" w:cs="Times New Roman"/>
        </w:rPr>
        <w:t xml:space="preserve">Given the conditions in many nursing homes during the COVID-19 pandemic, many people have lost their appetite for long-term care in institutional settings. </w:t>
      </w:r>
      <w:r w:rsidR="00D76DDB">
        <w:rPr>
          <w:rFonts w:ascii="Century Gothic" w:hAnsi="Century Gothic" w:cs="Times New Roman"/>
        </w:rPr>
        <w:br/>
      </w:r>
    </w:p>
    <w:p w14:paraId="665C1A8C" w14:textId="5159D24C" w:rsidR="00D8108E" w:rsidRPr="00D76DDB" w:rsidRDefault="00D8108E" w:rsidP="00D8108E">
      <w:pPr>
        <w:rPr>
          <w:rFonts w:ascii="Century Gothic" w:hAnsi="Century Gothic" w:cs="Times New Roman"/>
        </w:rPr>
      </w:pPr>
      <w:r w:rsidRPr="00D76DDB">
        <w:rPr>
          <w:rFonts w:ascii="Century Gothic" w:hAnsi="Century Gothic" w:cs="Times New Roman"/>
        </w:rPr>
        <w:t xml:space="preserve">If you’re over age 50, it’s worth considering what you may need for living expenses, exploring the funding options, and factoring them into your 2022 financial plan and beyond. </w:t>
      </w:r>
      <w:r w:rsidR="00D76DDB">
        <w:rPr>
          <w:rFonts w:ascii="Century Gothic" w:hAnsi="Century Gothic" w:cs="Times New Roman"/>
        </w:rPr>
        <w:br/>
      </w:r>
    </w:p>
    <w:p w14:paraId="76735AED" w14:textId="7DE580A0" w:rsidR="00D8108E" w:rsidRPr="00D76DDB" w:rsidRDefault="00D8108E" w:rsidP="00D8108E">
      <w:pPr>
        <w:rPr>
          <w:rFonts w:ascii="Century Gothic" w:hAnsi="Century Gothic" w:cs="Times New Roman"/>
        </w:rPr>
      </w:pPr>
      <w:r w:rsidRPr="00D76DDB">
        <w:rPr>
          <w:rFonts w:ascii="Century Gothic" w:hAnsi="Century Gothic" w:cs="Times New Roman"/>
        </w:rPr>
        <w:t xml:space="preserve">After all, it’s always a nagging worry that no matter how well you save, long-term care could wipe out your resources. And quickly. </w:t>
      </w:r>
      <w:r w:rsidR="00D76DDB">
        <w:rPr>
          <w:rFonts w:ascii="Century Gothic" w:hAnsi="Century Gothic" w:cs="Times New Roman"/>
        </w:rPr>
        <w:br/>
      </w:r>
    </w:p>
    <w:p w14:paraId="42742FC8" w14:textId="68848437" w:rsidR="00D8108E" w:rsidRPr="00D76DDB" w:rsidRDefault="00D8108E" w:rsidP="00D8108E">
      <w:pPr>
        <w:rPr>
          <w:rFonts w:ascii="Century Gothic" w:hAnsi="Century Gothic" w:cs="Times New Roman"/>
        </w:rPr>
      </w:pPr>
      <w:r w:rsidRPr="00D76DDB">
        <w:rPr>
          <w:rFonts w:ascii="Century Gothic" w:hAnsi="Century Gothic" w:cs="Times New Roman"/>
        </w:rPr>
        <w:t xml:space="preserve">The Center for Retirement Research at Boston College has been looking at aging care in a three-part series of briefs on the topic. </w:t>
      </w:r>
      <w:r w:rsidR="00D76DDB">
        <w:rPr>
          <w:rFonts w:ascii="Century Gothic" w:hAnsi="Century Gothic" w:cs="Times New Roman"/>
        </w:rPr>
        <w:br/>
      </w:r>
    </w:p>
    <w:p w14:paraId="7E59E4E4" w14:textId="3ED12931" w:rsidR="00D8108E" w:rsidRPr="00D76DDB" w:rsidRDefault="00D8108E" w:rsidP="00D8108E">
      <w:pPr>
        <w:rPr>
          <w:rFonts w:ascii="Century Gothic" w:hAnsi="Century Gothic" w:cs="Times New Roman"/>
        </w:rPr>
      </w:pPr>
      <w:r w:rsidRPr="00D76DDB">
        <w:rPr>
          <w:rFonts w:ascii="Century Gothic" w:hAnsi="Century Gothic" w:cs="Times New Roman"/>
        </w:rPr>
        <w:t>In the first two, CRR explored (</w:t>
      </w:r>
      <w:hyperlink r:id="rId8" w:history="1">
        <w:r w:rsidRPr="00D76DDB">
          <w:rPr>
            <w:rStyle w:val="Hyperlink"/>
            <w:rFonts w:ascii="Century Gothic" w:hAnsi="Century Gothic" w:cs="Times New Roman"/>
          </w:rPr>
          <w:t>https://bit.ly/31y3zqL</w:t>
        </w:r>
      </w:hyperlink>
      <w:r w:rsidRPr="00D76DDB">
        <w:rPr>
          <w:rFonts w:ascii="Century Gothic" w:hAnsi="Century Gothic" w:cs="Times New Roman"/>
        </w:rPr>
        <w:t>) how likely it would be that retirees would need support and the intensity and duration of that support and the second (</w:t>
      </w:r>
      <w:hyperlink r:id="rId9" w:history="1">
        <w:r w:rsidRPr="00D76DDB">
          <w:rPr>
            <w:rStyle w:val="Hyperlink"/>
            <w:rFonts w:ascii="Century Gothic" w:hAnsi="Century Gothic" w:cs="Times New Roman"/>
          </w:rPr>
          <w:t>https://bit.ly/3GOVnCD</w:t>
        </w:r>
      </w:hyperlink>
      <w:r w:rsidRPr="00D76DDB">
        <w:rPr>
          <w:rFonts w:ascii="Century Gothic" w:hAnsi="Century Gothic" w:cs="Times New Roman"/>
        </w:rPr>
        <w:t xml:space="preserve">) looked at what’s available in terms of caregivers and financial resources. </w:t>
      </w:r>
      <w:r w:rsidR="00D76DDB">
        <w:rPr>
          <w:rFonts w:ascii="Century Gothic" w:hAnsi="Century Gothic" w:cs="Times New Roman"/>
        </w:rPr>
        <w:br/>
      </w:r>
    </w:p>
    <w:p w14:paraId="59AF0BD8" w14:textId="79261643" w:rsidR="00D8108E" w:rsidRPr="00D76DDB" w:rsidRDefault="00D8108E" w:rsidP="00D8108E">
      <w:pPr>
        <w:rPr>
          <w:rFonts w:ascii="Century Gothic" w:hAnsi="Century Gothic" w:cs="Times New Roman"/>
        </w:rPr>
      </w:pPr>
      <w:r w:rsidRPr="00D76DDB">
        <w:rPr>
          <w:rFonts w:ascii="Century Gothic" w:hAnsi="Century Gothic" w:cs="Times New Roman"/>
        </w:rPr>
        <w:t xml:space="preserve">The briefs may bring both comfort and alarm. </w:t>
      </w:r>
      <w:r w:rsidR="00D76DDB">
        <w:rPr>
          <w:rFonts w:ascii="Century Gothic" w:hAnsi="Century Gothic" w:cs="Times New Roman"/>
        </w:rPr>
        <w:br/>
      </w:r>
    </w:p>
    <w:p w14:paraId="2B66319D" w14:textId="453103E6" w:rsidR="00D8108E" w:rsidRPr="00D76DDB" w:rsidRDefault="00D8108E" w:rsidP="00D8108E">
      <w:pPr>
        <w:rPr>
          <w:rFonts w:ascii="Century Gothic" w:hAnsi="Century Gothic" w:cs="Times New Roman"/>
        </w:rPr>
      </w:pPr>
      <w:r w:rsidRPr="00D76DDB">
        <w:rPr>
          <w:rFonts w:ascii="Century Gothic" w:hAnsi="Century Gothic" w:cs="Times New Roman"/>
        </w:rPr>
        <w:lastRenderedPageBreak/>
        <w:t xml:space="preserve">For instance, though many retirees fear spending their 401(k) money and often deprive themselves of necessities because they think they’ll have to raid the fund to pay for care down the road, CCR found that only one-quarter of 65-year-olds will have severe needs – think dementia care in an institutional setting, for example – for long-term care across their retirement. </w:t>
      </w:r>
      <w:r w:rsidR="00D76DDB">
        <w:rPr>
          <w:rFonts w:ascii="Century Gothic" w:hAnsi="Century Gothic" w:cs="Times New Roman"/>
        </w:rPr>
        <w:br/>
      </w:r>
    </w:p>
    <w:p w14:paraId="0A8A2D34" w14:textId="046F5644" w:rsidR="00D8108E" w:rsidRPr="00D76DDB" w:rsidRDefault="00D8108E" w:rsidP="00D8108E">
      <w:pPr>
        <w:rPr>
          <w:rFonts w:ascii="Century Gothic" w:hAnsi="Century Gothic" w:cs="Times New Roman"/>
        </w:rPr>
      </w:pPr>
      <w:r w:rsidRPr="00D76DDB">
        <w:rPr>
          <w:rFonts w:ascii="Century Gothic" w:hAnsi="Century Gothic" w:cs="Times New Roman"/>
        </w:rPr>
        <w:t xml:space="preserve">One-fifth will need no support. Another 22 percent will have low needs and 38 percent will have moderate needs. </w:t>
      </w:r>
      <w:r w:rsidR="00D76DDB">
        <w:rPr>
          <w:rFonts w:ascii="Century Gothic" w:hAnsi="Century Gothic" w:cs="Times New Roman"/>
        </w:rPr>
        <w:br/>
      </w:r>
    </w:p>
    <w:p w14:paraId="71F4DD35" w14:textId="3E4D1BA9" w:rsidR="00D8108E" w:rsidRPr="00D76DDB" w:rsidRDefault="00D8108E" w:rsidP="00D8108E">
      <w:pPr>
        <w:rPr>
          <w:rFonts w:ascii="Century Gothic" w:hAnsi="Century Gothic" w:cs="Times New Roman"/>
        </w:rPr>
      </w:pPr>
      <w:r w:rsidRPr="00D76DDB">
        <w:rPr>
          <w:rFonts w:ascii="Century Gothic" w:hAnsi="Century Gothic" w:cs="Times New Roman"/>
        </w:rPr>
        <w:t xml:space="preserve">CCR also found that needs vary based on sociodemographic differences, with married people faring well, thanks to the fact that they tend to be wealthier and have the support of a spouse. </w:t>
      </w:r>
      <w:r w:rsidR="00D76DDB">
        <w:rPr>
          <w:rFonts w:ascii="Century Gothic" w:hAnsi="Century Gothic" w:cs="Times New Roman"/>
        </w:rPr>
        <w:br/>
      </w:r>
    </w:p>
    <w:p w14:paraId="59D738BB" w14:textId="2F2AFBA3" w:rsidR="00D8108E" w:rsidRPr="00D76DDB" w:rsidRDefault="00D8108E" w:rsidP="00D8108E">
      <w:pPr>
        <w:rPr>
          <w:rFonts w:ascii="Century Gothic" w:hAnsi="Century Gothic" w:cs="Times New Roman"/>
        </w:rPr>
      </w:pPr>
      <w:r w:rsidRPr="00D76DDB">
        <w:rPr>
          <w:rFonts w:ascii="Century Gothic" w:hAnsi="Century Gothic" w:cs="Times New Roman"/>
        </w:rPr>
        <w:t xml:space="preserve">The second brief examines the resources retirees have available to them for long-term support. </w:t>
      </w:r>
      <w:proofErr w:type="gramStart"/>
      <w:r w:rsidRPr="00D76DDB">
        <w:rPr>
          <w:rFonts w:ascii="Century Gothic" w:hAnsi="Century Gothic" w:cs="Times New Roman"/>
        </w:rPr>
        <w:t>Typically</w:t>
      </w:r>
      <w:proofErr w:type="gramEnd"/>
      <w:r w:rsidRPr="00D76DDB">
        <w:rPr>
          <w:rFonts w:ascii="Century Gothic" w:hAnsi="Century Gothic" w:cs="Times New Roman"/>
        </w:rPr>
        <w:t xml:space="preserve"> people get support through family, the bulk (60%) of which comes from children, spouses, and other relatives providing unpaid care. Others rely on formal care that’s paid out of pocket or through long-term care insurance or Medicaid. </w:t>
      </w:r>
      <w:r w:rsidR="00D76DDB">
        <w:rPr>
          <w:rFonts w:ascii="Century Gothic" w:hAnsi="Century Gothic" w:cs="Times New Roman"/>
        </w:rPr>
        <w:br/>
      </w:r>
    </w:p>
    <w:p w14:paraId="30A84F27" w14:textId="1F045C81" w:rsidR="00D8108E" w:rsidRPr="00D76DDB" w:rsidRDefault="00D8108E" w:rsidP="00D8108E">
      <w:pPr>
        <w:rPr>
          <w:rFonts w:ascii="Century Gothic" w:hAnsi="Century Gothic" w:cs="Times New Roman"/>
        </w:rPr>
      </w:pPr>
      <w:r w:rsidRPr="00D76DDB">
        <w:rPr>
          <w:rFonts w:ascii="Century Gothic" w:hAnsi="Century Gothic" w:cs="Times New Roman"/>
        </w:rPr>
        <w:t xml:space="preserve">There are downsides and trade-offs with every option. Medicaid, for instance, requires middle-income people to spend down their assets to qualify. Wealthier seniors worry about care because they want to leave money to heirs. And relying on family help often becomes burdensome to the caregivers. </w:t>
      </w:r>
      <w:r w:rsidR="00D76DDB">
        <w:rPr>
          <w:rFonts w:ascii="Century Gothic" w:hAnsi="Century Gothic" w:cs="Times New Roman"/>
        </w:rPr>
        <w:br/>
      </w:r>
    </w:p>
    <w:p w14:paraId="43F15040" w14:textId="055D94DD" w:rsidR="00D8108E" w:rsidRPr="00D76DDB" w:rsidRDefault="00D8108E" w:rsidP="00D8108E">
      <w:pPr>
        <w:rPr>
          <w:rFonts w:ascii="Century Gothic" w:hAnsi="Century Gothic" w:cs="Times New Roman"/>
        </w:rPr>
      </w:pPr>
      <w:r w:rsidRPr="00D76DDB">
        <w:rPr>
          <w:rFonts w:ascii="Century Gothic" w:hAnsi="Century Gothic" w:cs="Times New Roman"/>
        </w:rPr>
        <w:t>CCR notes that just 11% of adults over age 65 have long-term care insurance.</w:t>
      </w:r>
      <w:r w:rsidR="00D76DDB">
        <w:rPr>
          <w:rFonts w:ascii="Century Gothic" w:hAnsi="Century Gothic" w:cs="Times New Roman"/>
        </w:rPr>
        <w:br/>
      </w:r>
    </w:p>
    <w:p w14:paraId="1BA09339" w14:textId="72248726" w:rsidR="00D8108E" w:rsidRPr="00D76DDB" w:rsidRDefault="00D8108E" w:rsidP="00D8108E">
      <w:pPr>
        <w:rPr>
          <w:rFonts w:ascii="Century Gothic" w:hAnsi="Century Gothic" w:cs="Times New Roman"/>
        </w:rPr>
      </w:pPr>
      <w:r w:rsidRPr="00D76DDB">
        <w:rPr>
          <w:rFonts w:ascii="Century Gothic" w:hAnsi="Century Gothic" w:cs="Times New Roman"/>
        </w:rPr>
        <w:t xml:space="preserve">In addition, with the median hourly rate for a home health aide running $22 (a figure from 2018), CCRE estimates the number of care hours people in various economic circumstances can afford to pay out of pocket. </w:t>
      </w:r>
      <w:r w:rsidR="00D76DDB">
        <w:rPr>
          <w:rFonts w:ascii="Century Gothic" w:hAnsi="Century Gothic" w:cs="Times New Roman"/>
        </w:rPr>
        <w:br/>
      </w:r>
    </w:p>
    <w:p w14:paraId="7A3CC1BA" w14:textId="7E61A4BA" w:rsidR="00D8108E" w:rsidRPr="00D76DDB" w:rsidRDefault="00D8108E" w:rsidP="00D8108E">
      <w:pPr>
        <w:rPr>
          <w:rFonts w:ascii="Century Gothic" w:hAnsi="Century Gothic" w:cs="Times New Roman"/>
        </w:rPr>
      </w:pPr>
      <w:r w:rsidRPr="00D76DDB">
        <w:rPr>
          <w:rFonts w:ascii="Century Gothic" w:hAnsi="Century Gothic" w:cs="Times New Roman"/>
        </w:rPr>
        <w:t xml:space="preserve">It estimates that those with low incomes would be able to cover just 82 hours per year, middle-income people could afford 300 hours, and those with high incomes could cover about 1,000.  </w:t>
      </w:r>
      <w:r w:rsidR="00D76DDB">
        <w:rPr>
          <w:rFonts w:ascii="Century Gothic" w:hAnsi="Century Gothic" w:cs="Times New Roman"/>
        </w:rPr>
        <w:br/>
      </w:r>
    </w:p>
    <w:p w14:paraId="07E0FC7A" w14:textId="02F97161" w:rsidR="00D8108E" w:rsidRPr="00D76DDB" w:rsidRDefault="00D8108E" w:rsidP="00D8108E">
      <w:pPr>
        <w:rPr>
          <w:rFonts w:ascii="Century Gothic" w:hAnsi="Century Gothic" w:cs="Times New Roman"/>
        </w:rPr>
      </w:pPr>
      <w:r w:rsidRPr="00D76DDB">
        <w:rPr>
          <w:rFonts w:ascii="Century Gothic" w:hAnsi="Century Gothic" w:cs="Times New Roman"/>
        </w:rPr>
        <w:t xml:space="preserve">Those who enter retirement married are in the best position to manage their care needs, while unmarried women fare the worst and only can afford minimal care. </w:t>
      </w:r>
      <w:r w:rsidR="00D76DDB">
        <w:rPr>
          <w:rFonts w:ascii="Century Gothic" w:hAnsi="Century Gothic" w:cs="Times New Roman"/>
        </w:rPr>
        <w:br/>
      </w:r>
    </w:p>
    <w:p w14:paraId="5D428A31" w14:textId="77777777" w:rsidR="00D8108E" w:rsidRPr="00D76DDB" w:rsidRDefault="00D8108E" w:rsidP="00D8108E">
      <w:pPr>
        <w:rPr>
          <w:rFonts w:ascii="Century Gothic" w:hAnsi="Century Gothic" w:cs="Times New Roman"/>
        </w:rPr>
      </w:pPr>
      <w:r w:rsidRPr="00D76DDB">
        <w:rPr>
          <w:rFonts w:ascii="Century Gothic" w:hAnsi="Century Gothic" w:cs="Times New Roman"/>
        </w:rPr>
        <w:t xml:space="preserve">Whether you’re comforted or alarmed by CCR’s conclusions, everyone can benefit from exploring how to pay for long-term care and incorporating it into 2022’s retirement goals.  </w:t>
      </w:r>
    </w:p>
    <w:p w14:paraId="5CBC6AA4" w14:textId="7525CC1D" w:rsidR="00D8108E" w:rsidRPr="00D76DDB" w:rsidRDefault="00D8108E" w:rsidP="00D8108E">
      <w:pPr>
        <w:rPr>
          <w:rFonts w:ascii="Century Gothic" w:hAnsi="Century Gothic" w:cs="Times New Roman"/>
          <w:i/>
          <w:iCs/>
        </w:rPr>
      </w:pPr>
      <w:r w:rsidRPr="00D76DDB">
        <w:rPr>
          <w:rFonts w:ascii="Century Gothic" w:hAnsi="Century Gothic" w:cs="Times New Roman"/>
          <w:i/>
          <w:iCs/>
        </w:rPr>
        <w:lastRenderedPageBreak/>
        <w:t>For more about the challenges of caregiving, see the SRES blog.</w:t>
      </w:r>
    </w:p>
    <w:p w14:paraId="4614781C" w14:textId="77777777" w:rsidR="00D8108E" w:rsidRPr="00D76DDB" w:rsidRDefault="00D8108E" w:rsidP="00D8108E">
      <w:pPr>
        <w:rPr>
          <w:rFonts w:ascii="Century Gothic" w:hAnsi="Century Gothic" w:cs="Times New Roman"/>
          <w:i/>
          <w:iCs/>
        </w:rPr>
      </w:pPr>
    </w:p>
    <w:p w14:paraId="4354048C" w14:textId="22775B5A" w:rsidR="00D8108E" w:rsidRPr="00D76DDB" w:rsidRDefault="00D8108E" w:rsidP="00D8108E">
      <w:pPr>
        <w:rPr>
          <w:rFonts w:ascii="Century Gothic" w:hAnsi="Century Gothic" w:cs="Times New Roman"/>
          <w:b/>
          <w:bCs/>
          <w:sz w:val="24"/>
          <w:szCs w:val="28"/>
        </w:rPr>
      </w:pPr>
      <w:r w:rsidRPr="00D76DDB">
        <w:rPr>
          <w:rFonts w:ascii="Century Gothic" w:hAnsi="Century Gothic" w:cs="Times New Roman"/>
          <w:b/>
          <w:bCs/>
          <w:sz w:val="24"/>
          <w:szCs w:val="28"/>
        </w:rPr>
        <w:t xml:space="preserve">Medicare Open Enrollment </w:t>
      </w:r>
    </w:p>
    <w:p w14:paraId="57F8446A" w14:textId="77777777" w:rsidR="00D8108E" w:rsidRPr="00D76DDB" w:rsidRDefault="00D8108E" w:rsidP="00D8108E">
      <w:pPr>
        <w:rPr>
          <w:rFonts w:ascii="Century Gothic" w:hAnsi="Century Gothic" w:cs="Times New Roman"/>
          <w:b/>
          <w:bCs/>
        </w:rPr>
      </w:pPr>
    </w:p>
    <w:p w14:paraId="093F4914" w14:textId="367F48D1" w:rsidR="00D8108E" w:rsidRPr="00D76DDB" w:rsidRDefault="00D8108E" w:rsidP="00D8108E">
      <w:pPr>
        <w:rPr>
          <w:rFonts w:ascii="Century Gothic" w:hAnsi="Century Gothic" w:cs="Times New Roman"/>
        </w:rPr>
      </w:pPr>
      <w:r w:rsidRPr="00D76DDB">
        <w:rPr>
          <w:rFonts w:ascii="Century Gothic" w:hAnsi="Century Gothic" w:cs="Times New Roman"/>
        </w:rPr>
        <w:t xml:space="preserve">Medicare Open Enrollment runs through Dec. 7. </w:t>
      </w:r>
      <w:r w:rsidR="00D76DDB">
        <w:rPr>
          <w:rFonts w:ascii="Century Gothic" w:hAnsi="Century Gothic" w:cs="Times New Roman"/>
        </w:rPr>
        <w:br/>
      </w:r>
    </w:p>
    <w:p w14:paraId="5BE32C0D" w14:textId="4C1944B5" w:rsidR="00D8108E" w:rsidRPr="00D76DDB" w:rsidRDefault="00D8108E" w:rsidP="00D8108E">
      <w:pPr>
        <w:rPr>
          <w:rFonts w:ascii="Century Gothic" w:hAnsi="Century Gothic" w:cs="Times New Roman"/>
        </w:rPr>
      </w:pPr>
      <w:r w:rsidRPr="00D76DDB">
        <w:rPr>
          <w:rFonts w:ascii="Century Gothic" w:hAnsi="Century Gothic" w:cs="Times New Roman"/>
        </w:rPr>
        <w:t xml:space="preserve">Navigating the options and picking the right Medicare Advantage plans and Part D drug plans can be complex and confusing. </w:t>
      </w:r>
      <w:r w:rsidR="00D76DDB">
        <w:rPr>
          <w:rFonts w:ascii="Century Gothic" w:hAnsi="Century Gothic" w:cs="Times New Roman"/>
        </w:rPr>
        <w:br/>
      </w:r>
    </w:p>
    <w:p w14:paraId="351DD9DF" w14:textId="006DA8E0" w:rsidR="00D8108E" w:rsidRPr="00D76DDB" w:rsidRDefault="00D8108E" w:rsidP="00D8108E">
      <w:pPr>
        <w:rPr>
          <w:rFonts w:ascii="Century Gothic" w:hAnsi="Century Gothic" w:cs="Times New Roman"/>
        </w:rPr>
      </w:pPr>
      <w:r w:rsidRPr="00D76DDB">
        <w:rPr>
          <w:rFonts w:ascii="Century Gothic" w:hAnsi="Century Gothic" w:cs="Times New Roman"/>
        </w:rPr>
        <w:t xml:space="preserve">Picking Medicare plans has never been a one-and-done affair, and you </w:t>
      </w:r>
      <w:proofErr w:type="gramStart"/>
      <w:r w:rsidRPr="00D76DDB">
        <w:rPr>
          <w:rFonts w:ascii="Century Gothic" w:hAnsi="Century Gothic" w:cs="Times New Roman"/>
        </w:rPr>
        <w:t>have to</w:t>
      </w:r>
      <w:proofErr w:type="gramEnd"/>
      <w:r w:rsidRPr="00D76DDB">
        <w:rPr>
          <w:rFonts w:ascii="Century Gothic" w:hAnsi="Century Gothic" w:cs="Times New Roman"/>
        </w:rPr>
        <w:t xml:space="preserve"> review the options each year. </w:t>
      </w:r>
      <w:r w:rsidR="00D76DDB">
        <w:rPr>
          <w:rFonts w:ascii="Century Gothic" w:hAnsi="Century Gothic" w:cs="Times New Roman"/>
        </w:rPr>
        <w:br/>
      </w:r>
    </w:p>
    <w:p w14:paraId="553C101C" w14:textId="09F45A0B" w:rsidR="00D8108E" w:rsidRPr="00D76DDB" w:rsidRDefault="00D8108E" w:rsidP="00D8108E">
      <w:pPr>
        <w:rPr>
          <w:rFonts w:ascii="Century Gothic" w:hAnsi="Century Gothic" w:cs="Times New Roman"/>
        </w:rPr>
      </w:pPr>
      <w:r w:rsidRPr="00D76DDB">
        <w:rPr>
          <w:rFonts w:ascii="Century Gothic" w:hAnsi="Century Gothic" w:cs="Times New Roman"/>
        </w:rPr>
        <w:t>Yet, in 2019, 71% of all Medicare beneficiaries reported that they did not compare their plan to other Medicare plans that were available during the 2018 open enrollment period, found KFF, the Kaiser Family Foundation (</w:t>
      </w:r>
      <w:hyperlink r:id="rId10" w:history="1">
        <w:r w:rsidRPr="00D76DDB">
          <w:rPr>
            <w:rStyle w:val="Hyperlink"/>
            <w:rFonts w:ascii="Century Gothic" w:hAnsi="Century Gothic" w:cs="Times New Roman"/>
          </w:rPr>
          <w:t>https://bit.ly/3bH2yyf</w:t>
        </w:r>
      </w:hyperlink>
      <w:r w:rsidRPr="00D76DDB">
        <w:rPr>
          <w:rFonts w:ascii="Century Gothic" w:hAnsi="Century Gothic" w:cs="Times New Roman"/>
        </w:rPr>
        <w:t>).</w:t>
      </w:r>
      <w:r w:rsidR="00D76DDB">
        <w:rPr>
          <w:rFonts w:ascii="Century Gothic" w:hAnsi="Century Gothic" w:cs="Times New Roman"/>
        </w:rPr>
        <w:br/>
      </w:r>
    </w:p>
    <w:p w14:paraId="7C42E2AD" w14:textId="7E2F021A" w:rsidR="00D8108E" w:rsidRPr="00D76DDB" w:rsidRDefault="00D8108E" w:rsidP="00D8108E">
      <w:pPr>
        <w:rPr>
          <w:rFonts w:ascii="Century Gothic" w:hAnsi="Century Gothic" w:cs="Times New Roman"/>
        </w:rPr>
      </w:pPr>
      <w:r w:rsidRPr="00D76DDB">
        <w:rPr>
          <w:rFonts w:ascii="Century Gothic" w:hAnsi="Century Gothic" w:cs="Times New Roman"/>
        </w:rPr>
        <w:t xml:space="preserve">In addition, 81% of beneficiaries in Medicare Advantage drug plans (MA-PDs) said they did not compare the drug coverage offered by their current MA-PD plan to any other MA-PD in their area during 2019. </w:t>
      </w:r>
      <w:r w:rsidR="00D76DDB">
        <w:rPr>
          <w:rFonts w:ascii="Century Gothic" w:hAnsi="Century Gothic" w:cs="Times New Roman"/>
        </w:rPr>
        <w:br/>
      </w:r>
    </w:p>
    <w:p w14:paraId="2CFF0541" w14:textId="77777777" w:rsidR="00D8108E" w:rsidRPr="00D76DDB" w:rsidRDefault="00D8108E" w:rsidP="00D8108E">
      <w:pPr>
        <w:rPr>
          <w:rFonts w:ascii="Century Gothic" w:hAnsi="Century Gothic" w:cs="Times New Roman"/>
        </w:rPr>
      </w:pPr>
      <w:r w:rsidRPr="00D76DDB">
        <w:rPr>
          <w:rFonts w:ascii="Century Gothic" w:hAnsi="Century Gothic" w:cs="Times New Roman"/>
        </w:rPr>
        <w:t xml:space="preserve">It’s important to review your choices each year to learn about the changes in plans and drug coverage options and pick that one that lowers your out-of-pocket costs and best addresses your needs. </w:t>
      </w:r>
    </w:p>
    <w:p w14:paraId="537696C4" w14:textId="77777777" w:rsidR="00D8108E" w:rsidRPr="00D76DDB" w:rsidRDefault="00D8108E" w:rsidP="00D8108E">
      <w:pPr>
        <w:rPr>
          <w:rFonts w:ascii="Century Gothic" w:hAnsi="Century Gothic" w:cs="Times New Roman"/>
          <w:b/>
          <w:bCs/>
        </w:rPr>
      </w:pPr>
    </w:p>
    <w:p w14:paraId="3EE57973" w14:textId="77777777" w:rsidR="00D8108E" w:rsidRPr="00D76DDB" w:rsidRDefault="00D8108E" w:rsidP="00D8108E">
      <w:pPr>
        <w:rPr>
          <w:rFonts w:ascii="Century Gothic" w:hAnsi="Century Gothic" w:cs="Times New Roman"/>
          <w:b/>
          <w:bCs/>
        </w:rPr>
      </w:pPr>
    </w:p>
    <w:p w14:paraId="4E795293" w14:textId="0782C5A8" w:rsidR="00D8108E" w:rsidRPr="00D76DDB" w:rsidRDefault="00D8108E" w:rsidP="00D8108E">
      <w:pPr>
        <w:rPr>
          <w:rFonts w:ascii="Century Gothic" w:hAnsi="Century Gothic" w:cs="Times New Roman"/>
          <w:b/>
          <w:bCs/>
        </w:rPr>
      </w:pPr>
      <w:r w:rsidRPr="00D76DDB">
        <w:rPr>
          <w:rFonts w:ascii="Century Gothic" w:hAnsi="Century Gothic" w:cs="Times New Roman"/>
          <w:b/>
          <w:bCs/>
        </w:rPr>
        <w:t xml:space="preserve">Resources: </w:t>
      </w:r>
    </w:p>
    <w:p w14:paraId="1F61A194" w14:textId="77777777" w:rsidR="00D8108E" w:rsidRPr="00D76DDB" w:rsidRDefault="00D8108E" w:rsidP="00D8108E">
      <w:pPr>
        <w:numPr>
          <w:ilvl w:val="0"/>
          <w:numId w:val="15"/>
        </w:numPr>
        <w:spacing w:before="0" w:after="160" w:line="259" w:lineRule="auto"/>
        <w:rPr>
          <w:rFonts w:ascii="Century Gothic" w:hAnsi="Century Gothic" w:cs="Times New Roman"/>
        </w:rPr>
      </w:pPr>
      <w:r w:rsidRPr="00D76DDB">
        <w:rPr>
          <w:rFonts w:ascii="Century Gothic" w:hAnsi="Century Gothic" w:cs="Times New Roman"/>
        </w:rPr>
        <w:t>AARP (</w:t>
      </w:r>
      <w:hyperlink r:id="rId11" w:history="1">
        <w:r w:rsidRPr="00D76DDB">
          <w:rPr>
            <w:rStyle w:val="Hyperlink"/>
            <w:rFonts w:ascii="Century Gothic" w:hAnsi="Century Gothic" w:cs="Times New Roman"/>
          </w:rPr>
          <w:t>https://bit.ly/3nXlgHB</w:t>
        </w:r>
      </w:hyperlink>
      <w:r w:rsidRPr="00D76DDB">
        <w:rPr>
          <w:rFonts w:ascii="Century Gothic" w:hAnsi="Century Gothic" w:cs="Times New Roman"/>
        </w:rPr>
        <w:t xml:space="preserve">) – Find Q&amp;As on how Medicare works, its parts, and the costs for each. </w:t>
      </w:r>
    </w:p>
    <w:p w14:paraId="7F806BE0" w14:textId="77777777" w:rsidR="00D8108E" w:rsidRPr="00D76DDB" w:rsidRDefault="00D8108E" w:rsidP="00D8108E">
      <w:pPr>
        <w:numPr>
          <w:ilvl w:val="0"/>
          <w:numId w:val="15"/>
        </w:numPr>
        <w:spacing w:before="0" w:after="160" w:line="259" w:lineRule="auto"/>
        <w:rPr>
          <w:rFonts w:ascii="Century Gothic" w:hAnsi="Century Gothic" w:cs="Times New Roman"/>
        </w:rPr>
      </w:pPr>
      <w:r w:rsidRPr="00D76DDB">
        <w:rPr>
          <w:rFonts w:ascii="Century Gothic" w:hAnsi="Century Gothic" w:cs="Times New Roman"/>
        </w:rPr>
        <w:t>Medicare (</w:t>
      </w:r>
      <w:hyperlink r:id="rId12" w:history="1">
        <w:r w:rsidRPr="00D76DDB">
          <w:rPr>
            <w:rStyle w:val="Hyperlink"/>
            <w:rFonts w:ascii="Century Gothic" w:hAnsi="Century Gothic" w:cs="Times New Roman"/>
          </w:rPr>
          <w:t>https://bit.ly/3GNMtFo</w:t>
        </w:r>
      </w:hyperlink>
      <w:r w:rsidRPr="00D76DDB">
        <w:rPr>
          <w:rFonts w:ascii="Century Gothic" w:hAnsi="Century Gothic" w:cs="Times New Roman"/>
        </w:rPr>
        <w:t xml:space="preserve">) – Visit Medicare’s site or call its helpline, 800/633-4227, to review your coverage and see new options. </w:t>
      </w:r>
    </w:p>
    <w:p w14:paraId="7CB76AA8" w14:textId="77777777" w:rsidR="00D8108E" w:rsidRPr="00D76DDB" w:rsidRDefault="00D8108E" w:rsidP="00D8108E">
      <w:pPr>
        <w:numPr>
          <w:ilvl w:val="0"/>
          <w:numId w:val="15"/>
        </w:numPr>
        <w:spacing w:before="0" w:after="160" w:line="259" w:lineRule="auto"/>
        <w:rPr>
          <w:rFonts w:ascii="Century Gothic" w:hAnsi="Century Gothic" w:cs="Times New Roman"/>
        </w:rPr>
      </w:pPr>
      <w:r w:rsidRPr="00D76DDB">
        <w:rPr>
          <w:rFonts w:ascii="Century Gothic" w:hAnsi="Century Gothic" w:cs="Times New Roman"/>
        </w:rPr>
        <w:t xml:space="preserve">State Health Insurance Assistance Program (SHIPS)( </w:t>
      </w:r>
      <w:hyperlink r:id="rId13" w:history="1">
        <w:r w:rsidRPr="00D76DDB">
          <w:rPr>
            <w:rStyle w:val="Hyperlink"/>
            <w:rFonts w:ascii="Century Gothic" w:hAnsi="Century Gothic" w:cs="Times New Roman"/>
          </w:rPr>
          <w:t>https://bit.ly/3GR4WRC</w:t>
        </w:r>
      </w:hyperlink>
      <w:r w:rsidRPr="00D76DDB">
        <w:rPr>
          <w:rFonts w:ascii="Century Gothic" w:hAnsi="Century Gothic" w:cs="Times New Roman"/>
        </w:rPr>
        <w:t xml:space="preserve">) – Find free, personalized help reviewing your Medicare options and picking the best plan. </w:t>
      </w:r>
    </w:p>
    <w:p w14:paraId="0351035A" w14:textId="77777777" w:rsidR="006B5086" w:rsidRPr="00D76DDB" w:rsidRDefault="006B5086" w:rsidP="006B0148">
      <w:pPr>
        <w:pStyle w:val="NormalWeb"/>
        <w:spacing w:before="0" w:beforeAutospacing="0" w:after="0" w:afterAutospacing="0"/>
        <w:rPr>
          <w:rFonts w:ascii="Century Gothic" w:hAnsi="Century Gothic"/>
          <w:color w:val="0E101A"/>
          <w:sz w:val="22"/>
          <w:szCs w:val="22"/>
        </w:rPr>
      </w:pPr>
    </w:p>
    <w:p w14:paraId="5839B8E0" w14:textId="04710C32" w:rsidR="006B0148" w:rsidRPr="00D76DDB" w:rsidRDefault="006B0148" w:rsidP="006B0148">
      <w:pPr>
        <w:pStyle w:val="NormalWeb"/>
        <w:spacing w:before="0" w:beforeAutospacing="0" w:after="0" w:afterAutospacing="0"/>
        <w:rPr>
          <w:rFonts w:ascii="Century Gothic" w:hAnsi="Century Gothic"/>
          <w:color w:val="0E101A"/>
          <w:sz w:val="22"/>
          <w:szCs w:val="22"/>
        </w:rPr>
      </w:pPr>
      <w:r w:rsidRPr="00D76DDB">
        <w:rPr>
          <w:rFonts w:ascii="Century Gothic" w:hAnsi="Century Gothic"/>
          <w:color w:val="0E101A"/>
          <w:sz w:val="22"/>
          <w:szCs w:val="22"/>
        </w:rPr>
        <w:t> </w:t>
      </w:r>
    </w:p>
    <w:p w14:paraId="7FED7E5A" w14:textId="551538A2" w:rsidR="00D8108E" w:rsidRPr="00D76DDB" w:rsidRDefault="00D8108E" w:rsidP="006B0148">
      <w:pPr>
        <w:pStyle w:val="NormalWeb"/>
        <w:spacing w:before="0" w:beforeAutospacing="0" w:after="0" w:afterAutospacing="0"/>
        <w:rPr>
          <w:rFonts w:ascii="Century Gothic" w:hAnsi="Century Gothic"/>
          <w:color w:val="0E101A"/>
          <w:sz w:val="22"/>
          <w:szCs w:val="22"/>
        </w:rPr>
      </w:pPr>
    </w:p>
    <w:p w14:paraId="2A2A7518" w14:textId="39DAF62E" w:rsidR="00D8108E" w:rsidRPr="00D76DDB" w:rsidRDefault="00D8108E" w:rsidP="006B0148">
      <w:pPr>
        <w:pStyle w:val="NormalWeb"/>
        <w:spacing w:before="0" w:beforeAutospacing="0" w:after="0" w:afterAutospacing="0"/>
        <w:rPr>
          <w:rFonts w:ascii="Century Gothic" w:hAnsi="Century Gothic"/>
          <w:color w:val="0E101A"/>
          <w:sz w:val="22"/>
          <w:szCs w:val="22"/>
        </w:rPr>
      </w:pPr>
    </w:p>
    <w:p w14:paraId="20232219" w14:textId="77777777" w:rsidR="00D8108E" w:rsidRPr="00D76DDB" w:rsidRDefault="00D8108E" w:rsidP="006B0148">
      <w:pPr>
        <w:pStyle w:val="NormalWeb"/>
        <w:spacing w:before="0" w:beforeAutospacing="0" w:after="0" w:afterAutospacing="0"/>
        <w:rPr>
          <w:rFonts w:ascii="Century Gothic" w:hAnsi="Century Gothic"/>
          <w:color w:val="0E101A"/>
          <w:sz w:val="22"/>
          <w:szCs w:val="22"/>
        </w:rPr>
      </w:pPr>
    </w:p>
    <w:p w14:paraId="1C9D2392" w14:textId="0876DF75" w:rsidR="00CE1B11" w:rsidRPr="00D76DDB" w:rsidRDefault="006B0148" w:rsidP="006B5086">
      <w:pPr>
        <w:pStyle w:val="NormalWeb"/>
        <w:spacing w:before="0" w:beforeAutospacing="0" w:after="0" w:afterAutospacing="0"/>
        <w:rPr>
          <w:rFonts w:ascii="Century Gothic" w:hAnsi="Century Gothic"/>
          <w:color w:val="0E101A"/>
          <w:sz w:val="22"/>
          <w:szCs w:val="22"/>
        </w:rPr>
      </w:pPr>
      <w:r w:rsidRPr="00D76DDB">
        <w:rPr>
          <w:rFonts w:ascii="Century Gothic" w:hAnsi="Century Gothic"/>
          <w:noProof/>
        </w:rPr>
        <mc:AlternateContent>
          <mc:Choice Requires="wps">
            <w:drawing>
              <wp:anchor distT="0" distB="0" distL="114300" distR="114300" simplePos="0" relativeHeight="251659264" behindDoc="0" locked="0" layoutInCell="1" allowOverlap="1" wp14:anchorId="5EC86F74" wp14:editId="152EDEBC">
                <wp:simplePos x="0" y="0"/>
                <wp:positionH relativeFrom="column">
                  <wp:posOffset>-175260</wp:posOffset>
                </wp:positionH>
                <wp:positionV relativeFrom="paragraph">
                  <wp:posOffset>296545</wp:posOffset>
                </wp:positionV>
                <wp:extent cx="3843866" cy="13538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3866" cy="1353820"/>
                        </a:xfrm>
                        <a:prstGeom prst="rect">
                          <a:avLst/>
                        </a:prstGeom>
                        <a:noFill/>
                        <a:ln w="6350">
                          <a:noFill/>
                        </a:ln>
                      </wps:spPr>
                      <wps:txb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86F74" id="_x0000_t202" coordsize="21600,21600" o:spt="202" path="m,l,21600r21600,l21600,xe">
                <v:stroke joinstyle="miter"/>
                <v:path gradientshapeok="t" o:connecttype="rect"/>
              </v:shapetype>
              <v:shape id="Text Box 12" o:spid="_x0000_s1026" type="#_x0000_t202" style="position:absolute;margin-left:-13.8pt;margin-top:23.35pt;width:302.65pt;height:1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" filled="f" stroked="f" strokeweight=".5pt">
                <v:textbo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v:textbox>
              </v:shape>
            </w:pict>
          </mc:Fallback>
        </mc:AlternateContent>
      </w:r>
      <w:bookmarkEnd w:id="0"/>
    </w:p>
    <w:p w14:paraId="350764E0" w14:textId="77777777" w:rsidR="00D76DDB" w:rsidRPr="00D76DDB" w:rsidRDefault="00D76DDB">
      <w:pPr>
        <w:pStyle w:val="NormalWeb"/>
        <w:spacing w:before="0" w:beforeAutospacing="0" w:after="0" w:afterAutospacing="0"/>
        <w:rPr>
          <w:rFonts w:ascii="Century Gothic" w:hAnsi="Century Gothic"/>
          <w:color w:val="0E101A"/>
          <w:sz w:val="22"/>
          <w:szCs w:val="22"/>
        </w:rPr>
      </w:pPr>
    </w:p>
    <w:sectPr w:rsidR="00D76DDB" w:rsidRPr="00D76DDB" w:rsidSect="00A134E5">
      <w:headerReference w:type="default" r:id="rId14"/>
      <w:footerReference w:type="default" r:id="rId15"/>
      <w:headerReference w:type="first" r:id="rId16"/>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2031A" w14:textId="77777777" w:rsidR="004F7706" w:rsidRDefault="004F7706" w:rsidP="00A52BD4">
      <w:pPr>
        <w:spacing w:before="0" w:after="0"/>
      </w:pPr>
      <w:r>
        <w:separator/>
      </w:r>
    </w:p>
  </w:endnote>
  <w:endnote w:type="continuationSeparator" w:id="0">
    <w:p w14:paraId="7FC1B917" w14:textId="77777777" w:rsidR="004F7706" w:rsidRDefault="004F7706"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A7961" w14:textId="77777777" w:rsidR="004F7706" w:rsidRDefault="004F7706" w:rsidP="00A52BD4">
      <w:pPr>
        <w:spacing w:before="0" w:after="0"/>
      </w:pPr>
      <w:r>
        <w:separator/>
      </w:r>
    </w:p>
  </w:footnote>
  <w:footnote w:type="continuationSeparator" w:id="0">
    <w:p w14:paraId="08E9DCC9" w14:textId="77777777" w:rsidR="004F7706" w:rsidRDefault="004F7706"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1465F" w14:textId="502D23F8" w:rsidR="00A52BD4" w:rsidRDefault="00D8058D" w:rsidP="00D8058D">
    <w:pPr>
      <w:pStyle w:val="Header"/>
      <w:spacing w:before="0" w:after="0"/>
      <w:ind w:left="-1440"/>
    </w:pPr>
    <w:r>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46E4FD59" w:rsidR="00A22D23" w:rsidRPr="00A134E5" w:rsidRDefault="00D8108E" w:rsidP="00530254">
                          <w:pPr>
                            <w:spacing w:before="0" w:after="40"/>
                            <w:jc w:val="right"/>
                            <w:rPr>
                              <w:b/>
                              <w:bCs/>
                              <w:sz w:val="21"/>
                              <w:szCs w:val="21"/>
                            </w:rPr>
                          </w:pPr>
                          <w:r>
                            <w:rPr>
                              <w:b/>
                              <w:bCs/>
                              <w:sz w:val="21"/>
                              <w:szCs w:val="21"/>
                            </w:rPr>
                            <w:t>December</w:t>
                          </w:r>
                          <w:r w:rsidR="00A22D23" w:rsidRPr="00A134E5">
                            <w:rPr>
                              <w:b/>
                              <w:bCs/>
                              <w:sz w:val="21"/>
                              <w:szCs w:val="21"/>
                            </w:rPr>
                            <w:t xml:space="preserve"> 202</w:t>
                          </w:r>
                          <w:r w:rsidR="00EE15D9">
                            <w:rPr>
                              <w:b/>
                              <w:bCs/>
                              <w:sz w:val="21"/>
                              <w:szCs w:val="21"/>
                            </w:rPr>
                            <w:t>1</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1DABF" id="_x0000_t202" coordsize="21600,21600" o:spt="202" path="m,l,21600r21600,l21600,xe">
              <v:stroke joinstyle="miter"/>
              <v:path gradientshapeok="t" o:connecttype="rect"/>
            </v:shapetype>
            <v:shape id="Text Box 3" o:spid="_x0000_s1027"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HGLgIAAFE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" filled="f" stroked="f" strokeweight=".5pt">
              <v:textbox>
                <w:txbxContent>
                  <w:p w14:paraId="03A3EF21" w14:textId="46E4FD59" w:rsidR="00A22D23" w:rsidRPr="00A134E5" w:rsidRDefault="00D8108E" w:rsidP="00530254">
                    <w:pPr>
                      <w:spacing w:before="0" w:after="40"/>
                      <w:jc w:val="right"/>
                      <w:rPr>
                        <w:b/>
                        <w:bCs/>
                        <w:sz w:val="21"/>
                        <w:szCs w:val="21"/>
                      </w:rPr>
                    </w:pPr>
                    <w:r>
                      <w:rPr>
                        <w:b/>
                        <w:bCs/>
                        <w:sz w:val="21"/>
                        <w:szCs w:val="21"/>
                      </w:rPr>
                      <w:t>December</w:t>
                    </w:r>
                    <w:r w:rsidR="00A22D23" w:rsidRPr="00A134E5">
                      <w:rPr>
                        <w:b/>
                        <w:bCs/>
                        <w:sz w:val="21"/>
                        <w:szCs w:val="21"/>
                      </w:rPr>
                      <w:t xml:space="preserve"> 202</w:t>
                    </w:r>
                    <w:r w:rsidR="00EE15D9">
                      <w:rPr>
                        <w:b/>
                        <w:bCs/>
                        <w:sz w:val="21"/>
                        <w:szCs w:val="21"/>
                      </w:rPr>
                      <w:t>1</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F6073"/>
    <w:multiLevelType w:val="multilevel"/>
    <w:tmpl w:val="C050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FB722AD"/>
    <w:multiLevelType w:val="multilevel"/>
    <w:tmpl w:val="F7BE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F21C6"/>
    <w:multiLevelType w:val="multilevel"/>
    <w:tmpl w:val="C22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C2FB4"/>
    <w:multiLevelType w:val="multilevel"/>
    <w:tmpl w:val="9AE27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AB810B1"/>
    <w:multiLevelType w:val="multilevel"/>
    <w:tmpl w:val="F0E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1E32DD"/>
    <w:multiLevelType w:val="multilevel"/>
    <w:tmpl w:val="0190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4E7D3E"/>
    <w:multiLevelType w:val="hybridMultilevel"/>
    <w:tmpl w:val="0D164E6C"/>
    <w:lvl w:ilvl="0" w:tplc="753E70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E03828"/>
    <w:multiLevelType w:val="multilevel"/>
    <w:tmpl w:val="063C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693CB6"/>
    <w:multiLevelType w:val="multilevel"/>
    <w:tmpl w:val="B64C0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861B8D"/>
    <w:multiLevelType w:val="multilevel"/>
    <w:tmpl w:val="54D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3765DC"/>
    <w:multiLevelType w:val="hybridMultilevel"/>
    <w:tmpl w:val="3E7C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B6656E"/>
    <w:multiLevelType w:val="multilevel"/>
    <w:tmpl w:val="F2DA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1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1"/>
  </w:num>
  <w:num w:numId="9">
    <w:abstractNumId w:val="6"/>
  </w:num>
  <w:num w:numId="10">
    <w:abstractNumId w:val="9"/>
  </w:num>
  <w:num w:numId="11">
    <w:abstractNumId w:val="0"/>
  </w:num>
  <w:num w:numId="12">
    <w:abstractNumId w:val="5"/>
  </w:num>
  <w:num w:numId="13">
    <w:abstractNumId w:val="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0319DB"/>
    <w:rsid w:val="00183A6E"/>
    <w:rsid w:val="001B4245"/>
    <w:rsid w:val="001B593E"/>
    <w:rsid w:val="003029C0"/>
    <w:rsid w:val="00480CD6"/>
    <w:rsid w:val="004F13B3"/>
    <w:rsid w:val="004F7706"/>
    <w:rsid w:val="00530254"/>
    <w:rsid w:val="005B5DF2"/>
    <w:rsid w:val="0068573E"/>
    <w:rsid w:val="006B0148"/>
    <w:rsid w:val="006B5086"/>
    <w:rsid w:val="00820D49"/>
    <w:rsid w:val="008A1140"/>
    <w:rsid w:val="0097224E"/>
    <w:rsid w:val="009D1A56"/>
    <w:rsid w:val="009E16AE"/>
    <w:rsid w:val="00A134E5"/>
    <w:rsid w:val="00A22D23"/>
    <w:rsid w:val="00A52BD4"/>
    <w:rsid w:val="00BB4C63"/>
    <w:rsid w:val="00BC364E"/>
    <w:rsid w:val="00C0014D"/>
    <w:rsid w:val="00C67186"/>
    <w:rsid w:val="00CB48A3"/>
    <w:rsid w:val="00D16062"/>
    <w:rsid w:val="00D76DDB"/>
    <w:rsid w:val="00D8058D"/>
    <w:rsid w:val="00D8108E"/>
    <w:rsid w:val="00E15D2C"/>
    <w:rsid w:val="00E4699C"/>
    <w:rsid w:val="00EA3414"/>
    <w:rsid w:val="00EA74D9"/>
    <w:rsid w:val="00EB07FC"/>
    <w:rsid w:val="00EE15D9"/>
    <w:rsid w:val="00F50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EE15D9"/>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EE15D9"/>
    <w:rPr>
      <w:i/>
      <w:iCs/>
    </w:rPr>
  </w:style>
  <w:style w:type="table" w:styleId="TableGrid">
    <w:name w:val="Table Grid"/>
    <w:basedOn w:val="TableNormal"/>
    <w:uiPriority w:val="39"/>
    <w:rsid w:val="009D1A56"/>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0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1y3zqL" TargetMode="External"/><Relationship Id="rId13" Type="http://schemas.openxmlformats.org/officeDocument/2006/relationships/hyperlink" Target="https://bit.ly/3GR4WR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3GNMtF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nXlgH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t.ly/3bH2yyf" TargetMode="External"/><Relationship Id="rId4" Type="http://schemas.openxmlformats.org/officeDocument/2006/relationships/settings" Target="settings.xml"/><Relationship Id="rId9" Type="http://schemas.openxmlformats.org/officeDocument/2006/relationships/hyperlink" Target="https://bit.ly/3GOVnCD"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7B51D-0A46-478E-9DFF-6F7475AA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Andre Stalling</cp:lastModifiedBy>
  <cp:revision>5</cp:revision>
  <dcterms:created xsi:type="dcterms:W3CDTF">2021-10-31T16:19:00Z</dcterms:created>
  <dcterms:modified xsi:type="dcterms:W3CDTF">2021-11-30T22:31:00Z</dcterms:modified>
</cp:coreProperties>
</file>